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The Faerie Dead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--Music and lyrics © 2003 by Ernest Clark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gurd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walked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Dane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trail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one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zy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sum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dull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tinged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his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thoughts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drew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his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eyes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dow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haze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tent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willed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might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  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saw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rie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elves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trolls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mixed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yet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scat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tered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beat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corp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things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vult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ures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picked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gut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eye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shred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Grue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strewn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tle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field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rie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less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rie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live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for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'til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cealed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rect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sist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where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they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crum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ble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dust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spell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fled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rare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tal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has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seen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rie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saw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gurd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tence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But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peace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sook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him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more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shook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rich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horns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blow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scouts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skir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mish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gurd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fears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learn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 that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0"/>
      <w:szCs w:val="20"/>
      <w:lang w:bidi="hi-IN" w:eastAsia="zh-CN" w:val="en-US"/>
    </w:rPr>
  </w:style>
  <w:style w:type="character" w:styleId="DefaultParagraphFont">
    <w:name w:val="Default Paragraph Font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8yYImOY1dxQtt59O3vYaMrMi+A==">AMUW2mWMFwnHn/0vZKbFVixgd9iAtd8MQAeZOK1b9OtOoOtbLXa2DsO+XmPslUVWg02h4AaNnuytvo3Ju/4uFsgqHf8leWM6tt7AC4Mpn4u3+cYcdnAk2nc=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